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F4E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 w14:paraId="02A27B23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我单位充分了解《绶溪片区生态治理及基础设施配套项目（道路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工程）-畅一路（一期）、畅二路项目林地可行性研究报告编制单位的招标公告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52AD5471"/>
    <w:p w14:paraId="0B81B4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C70CC"/>
    <w:rsid w:val="02F72B02"/>
    <w:rsid w:val="2472381E"/>
    <w:rsid w:val="2ED854FA"/>
    <w:rsid w:val="313C70CC"/>
    <w:rsid w:val="486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146</Characters>
  <Lines>0</Lines>
  <Paragraphs>0</Paragraphs>
  <TotalTime>0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2026-05-18T00:30:00Z</dcterms:created>
  <dc:creator> 欧芸婷</dc:creator>
  <cp:lastModifiedBy> 欧芸婷</cp:lastModifiedBy>
  <dcterms:modified xsi:type="dcterms:W3CDTF">2026-05-29T08:58:00Z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0B236990BFC94ABE983F66ED78A15D52_11</vt:lpwstr>
  </property>
  <property fmtid="{D5CDD505-2E9C-101B-9397-08002B2CF9AE}" pid="4" name="KSOTemplateDocerSaveRecord">
    <vt:lpwstr>eyJoZGlkIjoiYjVmMDlmNzRkYjY2ODk4NWQxYjgzMTAzMmI4MjY1ZTQiLCJ1c2VySWQiOiIyNjA2NTgyOTIifQ==</vt:lpwstr>
  </property>
</Properties>
</file>